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BD" w:rsidRDefault="00690F89" w:rsidP="000D026D">
      <w:pPr>
        <w:rPr>
          <w:b/>
          <w:sz w:val="28"/>
          <w:szCs w:val="28"/>
        </w:rPr>
      </w:pPr>
      <w:r w:rsidRPr="00937800">
        <w:rPr>
          <w:b/>
          <w:sz w:val="36"/>
          <w:szCs w:val="28"/>
        </w:rPr>
        <w:t xml:space="preserve">SOUTHEAST </w:t>
      </w:r>
      <w:r w:rsidR="00645CBD" w:rsidRPr="00937800">
        <w:rPr>
          <w:b/>
          <w:sz w:val="36"/>
          <w:szCs w:val="28"/>
        </w:rPr>
        <w:t>HEALTH GROU</w:t>
      </w:r>
      <w:r w:rsidR="00937800" w:rsidRPr="00937800">
        <w:rPr>
          <w:b/>
          <w:sz w:val="36"/>
          <w:szCs w:val="28"/>
        </w:rPr>
        <w:t>P</w:t>
      </w:r>
    </w:p>
    <w:p w:rsidR="00937800" w:rsidRDefault="00937800" w:rsidP="00937800">
      <w:pPr>
        <w:jc w:val="center"/>
        <w:rPr>
          <w:b/>
          <w:i/>
          <w:sz w:val="24"/>
        </w:rPr>
      </w:pPr>
    </w:p>
    <w:p w:rsidR="00690F89" w:rsidRPr="00937800" w:rsidRDefault="00690F89" w:rsidP="00937800">
      <w:pPr>
        <w:jc w:val="center"/>
        <w:rPr>
          <w:b/>
          <w:sz w:val="36"/>
          <w:szCs w:val="28"/>
        </w:rPr>
      </w:pPr>
      <w:r w:rsidRPr="00937800">
        <w:rPr>
          <w:b/>
          <w:sz w:val="24"/>
        </w:rPr>
        <w:t xml:space="preserve">RELOCATION </w:t>
      </w:r>
      <w:r w:rsidR="0093644F" w:rsidRPr="00937800">
        <w:rPr>
          <w:b/>
          <w:sz w:val="24"/>
        </w:rPr>
        <w:t xml:space="preserve">REIMBURSEMENT </w:t>
      </w:r>
      <w:r w:rsidRPr="00937800">
        <w:rPr>
          <w:b/>
          <w:sz w:val="24"/>
        </w:rPr>
        <w:t>REQUEST</w:t>
      </w:r>
    </w:p>
    <w:p w:rsidR="00BA1010" w:rsidRDefault="00BA1010">
      <w:pPr>
        <w:rPr>
          <w:sz w:val="24"/>
        </w:rPr>
      </w:pPr>
    </w:p>
    <w:p w:rsidR="00937800" w:rsidRDefault="00937800">
      <w:pPr>
        <w:rPr>
          <w:sz w:val="24"/>
        </w:rPr>
      </w:pPr>
    </w:p>
    <w:p w:rsidR="003C2A85" w:rsidRDefault="000D026D">
      <w:pPr>
        <w:rPr>
          <w:sz w:val="24"/>
        </w:rPr>
      </w:pPr>
      <w:r>
        <w:rPr>
          <w:sz w:val="24"/>
        </w:rPr>
        <w:t>Name</w:t>
      </w:r>
      <w:r w:rsidR="007345A2">
        <w:rPr>
          <w:sz w:val="24"/>
        </w:rPr>
        <w:t xml:space="preserve"> (printed)</w:t>
      </w:r>
      <w:r w:rsidR="003C2A85">
        <w:rPr>
          <w:sz w:val="24"/>
        </w:rPr>
        <w:t>:  ________________</w:t>
      </w:r>
      <w:r>
        <w:rPr>
          <w:sz w:val="24"/>
        </w:rPr>
        <w:t>______________</w:t>
      </w:r>
      <w:r w:rsidR="00690F89">
        <w:rPr>
          <w:sz w:val="24"/>
        </w:rPr>
        <w:t>_____</w:t>
      </w:r>
      <w:r w:rsidR="00701A14">
        <w:rPr>
          <w:sz w:val="24"/>
        </w:rPr>
        <w:t>__</w:t>
      </w:r>
      <w:r w:rsidR="00690F89">
        <w:rPr>
          <w:sz w:val="24"/>
        </w:rPr>
        <w:t>__</w:t>
      </w:r>
      <w:r w:rsidR="00701A14">
        <w:rPr>
          <w:sz w:val="24"/>
        </w:rPr>
        <w:t>______</w:t>
      </w:r>
      <w:r w:rsidR="003C2A85">
        <w:rPr>
          <w:sz w:val="24"/>
        </w:rPr>
        <w:t xml:space="preserve">    Date of Hire:  ____/____/________</w:t>
      </w:r>
    </w:p>
    <w:p w:rsidR="00BA1010" w:rsidRDefault="00BA1010" w:rsidP="00BA1010">
      <w:pPr>
        <w:rPr>
          <w:b/>
          <w:i/>
        </w:rPr>
      </w:pPr>
    </w:p>
    <w:p w:rsidR="00937800" w:rsidRDefault="00937800" w:rsidP="00BA1010">
      <w:pPr>
        <w:rPr>
          <w:b/>
          <w:sz w:val="24"/>
          <w:szCs w:val="24"/>
        </w:rPr>
      </w:pPr>
    </w:p>
    <w:p w:rsidR="00BA1010" w:rsidRPr="00937800" w:rsidRDefault="00BA1010" w:rsidP="00BA1010">
      <w:pPr>
        <w:rPr>
          <w:b/>
          <w:sz w:val="24"/>
          <w:szCs w:val="24"/>
        </w:rPr>
      </w:pPr>
      <w:r w:rsidRPr="00937800">
        <w:rPr>
          <w:b/>
          <w:sz w:val="24"/>
          <w:szCs w:val="24"/>
        </w:rPr>
        <w:t>Progra</w:t>
      </w:r>
      <w:r w:rsidR="00937800">
        <w:rPr>
          <w:b/>
          <w:sz w:val="24"/>
          <w:szCs w:val="24"/>
        </w:rPr>
        <w:t>m Criteria (see back for Program Guidelines</w:t>
      </w:r>
      <w:r w:rsidRPr="00937800">
        <w:rPr>
          <w:b/>
          <w:sz w:val="24"/>
          <w:szCs w:val="24"/>
        </w:rPr>
        <w:t>)</w:t>
      </w:r>
    </w:p>
    <w:p w:rsidR="00BA1010" w:rsidRPr="00937800" w:rsidRDefault="00BA1010" w:rsidP="00BA10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>Up to $1500 reimbursement of IRS-allowable expenses; prorated for non-FT/40 status.</w:t>
      </w:r>
    </w:p>
    <w:p w:rsidR="00BA1010" w:rsidRPr="00937800" w:rsidRDefault="00BA1010" w:rsidP="00BA10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>Relocation of 50+ miles from former home to new home required.</w:t>
      </w:r>
    </w:p>
    <w:p w:rsidR="00BA1010" w:rsidRPr="00937800" w:rsidRDefault="00BA1010" w:rsidP="00BA10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 xml:space="preserve">Request/Receipts to be submitted to HR within 30 days of Date of Hire (first paid day on the job). </w:t>
      </w:r>
    </w:p>
    <w:p w:rsidR="00BA1010" w:rsidRPr="00937800" w:rsidRDefault="002222A7" w:rsidP="00BA101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Group expenses (</w:t>
      </w:r>
      <w:proofErr w:type="spellStart"/>
      <w:r>
        <w:rPr>
          <w:sz w:val="24"/>
          <w:szCs w:val="24"/>
        </w:rPr>
        <w:t>ie</w:t>
      </w:r>
      <w:proofErr w:type="spellEnd"/>
      <w:r w:rsidR="00BA1010" w:rsidRPr="00937800">
        <w:rPr>
          <w:sz w:val="24"/>
          <w:szCs w:val="24"/>
        </w:rPr>
        <w:t xml:space="preserve"> meals) are to be entered on one line, with total dollar amount provided.</w:t>
      </w:r>
    </w:p>
    <w:p w:rsidR="00BA1010" w:rsidRPr="00937800" w:rsidRDefault="00BA1010" w:rsidP="00BA101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>Attach a copy of the receipt for each reported expense.</w:t>
      </w:r>
    </w:p>
    <w:p w:rsidR="00BA1010" w:rsidRPr="00937800" w:rsidRDefault="00BA1010" w:rsidP="009378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>No gas receipts; request mileage by attaching distance verification (</w:t>
      </w:r>
      <w:proofErr w:type="spellStart"/>
      <w:r w:rsidRPr="00937800">
        <w:rPr>
          <w:sz w:val="24"/>
          <w:szCs w:val="24"/>
        </w:rPr>
        <w:t>ie</w:t>
      </w:r>
      <w:proofErr w:type="spellEnd"/>
      <w:r w:rsidRPr="00937800">
        <w:rPr>
          <w:sz w:val="24"/>
          <w:szCs w:val="24"/>
        </w:rPr>
        <w:t xml:space="preserve"> MapQuest).  Exception—gas receipts for Rental Truck are accepted; mileage is not.</w:t>
      </w:r>
    </w:p>
    <w:p w:rsidR="00807A50" w:rsidRDefault="00BA1010" w:rsidP="00AA308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7800">
        <w:rPr>
          <w:sz w:val="24"/>
          <w:szCs w:val="24"/>
        </w:rPr>
        <w:t>A voluntary resignation prior to 12 months service may involve a full or partial loss of this benefit, resulting in a reimbursement via payroll deduction and/or invoice</w:t>
      </w:r>
      <w:r w:rsidR="00937800">
        <w:rPr>
          <w:sz w:val="24"/>
          <w:szCs w:val="24"/>
        </w:rPr>
        <w:t>.</w:t>
      </w:r>
    </w:p>
    <w:p w:rsidR="00937800" w:rsidRPr="00937800" w:rsidRDefault="00937800" w:rsidP="00937800">
      <w:pPr>
        <w:pStyle w:val="ListParagraph"/>
        <w:ind w:left="1080"/>
        <w:rPr>
          <w:sz w:val="24"/>
          <w:szCs w:val="24"/>
        </w:rPr>
      </w:pPr>
    </w:p>
    <w:p w:rsidR="00807A50" w:rsidRPr="00937800" w:rsidRDefault="00807A50">
      <w:pPr>
        <w:rPr>
          <w:sz w:val="16"/>
          <w:szCs w:val="8"/>
        </w:rPr>
      </w:pPr>
    </w:p>
    <w:p w:rsidR="00690F89" w:rsidRPr="00937800" w:rsidRDefault="00937800" w:rsidP="00937800">
      <w:pPr>
        <w:rPr>
          <w:b/>
          <w:sz w:val="24"/>
        </w:rPr>
      </w:pPr>
      <w:r w:rsidRPr="00937800">
        <w:rPr>
          <w:b/>
          <w:sz w:val="24"/>
        </w:rPr>
        <w:t>DATE</w:t>
      </w:r>
      <w:r w:rsidRPr="00937800">
        <w:rPr>
          <w:b/>
          <w:sz w:val="24"/>
        </w:rPr>
        <w:tab/>
      </w:r>
      <w:r w:rsidRPr="00937800">
        <w:rPr>
          <w:b/>
          <w:sz w:val="24"/>
        </w:rPr>
        <w:tab/>
      </w:r>
      <w:r w:rsidRPr="00937800">
        <w:rPr>
          <w:b/>
          <w:sz w:val="24"/>
        </w:rPr>
        <w:tab/>
      </w:r>
      <w:r>
        <w:rPr>
          <w:b/>
          <w:sz w:val="24"/>
        </w:rPr>
        <w:t>DESCRIPTION OF EXPENSE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37800">
        <w:rPr>
          <w:b/>
          <w:sz w:val="24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80"/>
        <w:gridCol w:w="2155"/>
      </w:tblGrid>
      <w:tr w:rsidR="00807A50" w:rsidTr="00937800">
        <w:trPr>
          <w:trHeight w:val="360"/>
        </w:trPr>
        <w:tc>
          <w:tcPr>
            <w:tcW w:w="2155" w:type="dxa"/>
          </w:tcPr>
          <w:p w:rsidR="00807A50" w:rsidRDefault="00807A50" w:rsidP="009850F2"/>
        </w:tc>
        <w:tc>
          <w:tcPr>
            <w:tcW w:w="6480" w:type="dxa"/>
          </w:tcPr>
          <w:p w:rsidR="00807A50" w:rsidRDefault="00807A50" w:rsidP="009850F2"/>
        </w:tc>
        <w:tc>
          <w:tcPr>
            <w:tcW w:w="2155" w:type="dxa"/>
          </w:tcPr>
          <w:p w:rsidR="00807A50" w:rsidRDefault="00807A50" w:rsidP="009850F2"/>
        </w:tc>
      </w:tr>
      <w:tr w:rsidR="00807A50" w:rsidTr="00937800">
        <w:trPr>
          <w:trHeight w:val="360"/>
        </w:trPr>
        <w:tc>
          <w:tcPr>
            <w:tcW w:w="2155" w:type="dxa"/>
          </w:tcPr>
          <w:p w:rsidR="00807A50" w:rsidRDefault="00807A50" w:rsidP="009850F2"/>
        </w:tc>
        <w:tc>
          <w:tcPr>
            <w:tcW w:w="6480" w:type="dxa"/>
          </w:tcPr>
          <w:p w:rsidR="00807A50" w:rsidRDefault="00807A50" w:rsidP="009850F2"/>
        </w:tc>
        <w:tc>
          <w:tcPr>
            <w:tcW w:w="2155" w:type="dxa"/>
          </w:tcPr>
          <w:p w:rsidR="00807A50" w:rsidRDefault="00807A50" w:rsidP="009850F2"/>
        </w:tc>
      </w:tr>
      <w:tr w:rsidR="00807A50" w:rsidTr="00937800">
        <w:trPr>
          <w:trHeight w:val="360"/>
        </w:trPr>
        <w:tc>
          <w:tcPr>
            <w:tcW w:w="2155" w:type="dxa"/>
          </w:tcPr>
          <w:p w:rsidR="00807A50" w:rsidRDefault="00807A50" w:rsidP="009850F2"/>
        </w:tc>
        <w:tc>
          <w:tcPr>
            <w:tcW w:w="6480" w:type="dxa"/>
          </w:tcPr>
          <w:p w:rsidR="00807A50" w:rsidRDefault="00807A50" w:rsidP="009850F2"/>
        </w:tc>
        <w:tc>
          <w:tcPr>
            <w:tcW w:w="2155" w:type="dxa"/>
          </w:tcPr>
          <w:p w:rsidR="00807A50" w:rsidRDefault="00807A50" w:rsidP="009850F2"/>
        </w:tc>
      </w:tr>
      <w:tr w:rsidR="00DE65BA" w:rsidTr="00937800">
        <w:trPr>
          <w:trHeight w:val="360"/>
        </w:trPr>
        <w:tc>
          <w:tcPr>
            <w:tcW w:w="2155" w:type="dxa"/>
          </w:tcPr>
          <w:p w:rsidR="00DE65BA" w:rsidRDefault="00DE65BA" w:rsidP="009850F2"/>
        </w:tc>
        <w:tc>
          <w:tcPr>
            <w:tcW w:w="6480" w:type="dxa"/>
          </w:tcPr>
          <w:p w:rsidR="00DE65BA" w:rsidRDefault="00DE65BA" w:rsidP="009850F2"/>
        </w:tc>
        <w:tc>
          <w:tcPr>
            <w:tcW w:w="2155" w:type="dxa"/>
          </w:tcPr>
          <w:p w:rsidR="00DE65BA" w:rsidRDefault="00DE65BA" w:rsidP="009850F2"/>
        </w:tc>
      </w:tr>
      <w:tr w:rsidR="00501C5F" w:rsidTr="00937800">
        <w:trPr>
          <w:trHeight w:val="360"/>
        </w:trPr>
        <w:tc>
          <w:tcPr>
            <w:tcW w:w="2155" w:type="dxa"/>
          </w:tcPr>
          <w:p w:rsidR="00501C5F" w:rsidRDefault="00501C5F" w:rsidP="00F4398A"/>
        </w:tc>
        <w:tc>
          <w:tcPr>
            <w:tcW w:w="6480" w:type="dxa"/>
          </w:tcPr>
          <w:p w:rsidR="00501C5F" w:rsidRDefault="00501C5F" w:rsidP="00F4398A"/>
        </w:tc>
        <w:tc>
          <w:tcPr>
            <w:tcW w:w="2155" w:type="dxa"/>
          </w:tcPr>
          <w:p w:rsidR="00501C5F" w:rsidRDefault="00501C5F" w:rsidP="00F4398A"/>
        </w:tc>
      </w:tr>
      <w:tr w:rsidR="00DE65BA" w:rsidTr="00937800">
        <w:trPr>
          <w:trHeight w:val="360"/>
        </w:trPr>
        <w:tc>
          <w:tcPr>
            <w:tcW w:w="2155" w:type="dxa"/>
          </w:tcPr>
          <w:p w:rsidR="00DE65BA" w:rsidRDefault="00DE65BA" w:rsidP="009850F2"/>
        </w:tc>
        <w:tc>
          <w:tcPr>
            <w:tcW w:w="6480" w:type="dxa"/>
          </w:tcPr>
          <w:p w:rsidR="00DE65BA" w:rsidRDefault="00DE65BA" w:rsidP="009850F2"/>
        </w:tc>
        <w:tc>
          <w:tcPr>
            <w:tcW w:w="2155" w:type="dxa"/>
          </w:tcPr>
          <w:p w:rsidR="00DE65BA" w:rsidRDefault="00DE65BA" w:rsidP="009850F2"/>
        </w:tc>
      </w:tr>
      <w:tr w:rsidR="00DE65BA" w:rsidTr="00937800">
        <w:trPr>
          <w:trHeight w:val="360"/>
        </w:trPr>
        <w:tc>
          <w:tcPr>
            <w:tcW w:w="2155" w:type="dxa"/>
          </w:tcPr>
          <w:p w:rsidR="00DE65BA" w:rsidRDefault="00DE65BA" w:rsidP="009850F2"/>
        </w:tc>
        <w:tc>
          <w:tcPr>
            <w:tcW w:w="6480" w:type="dxa"/>
          </w:tcPr>
          <w:p w:rsidR="00DE65BA" w:rsidRDefault="00DE65BA" w:rsidP="009850F2"/>
        </w:tc>
        <w:tc>
          <w:tcPr>
            <w:tcW w:w="2155" w:type="dxa"/>
          </w:tcPr>
          <w:p w:rsidR="00DE65BA" w:rsidRDefault="00DE65BA" w:rsidP="009850F2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  <w:tr w:rsidR="00937800" w:rsidTr="00937800">
        <w:trPr>
          <w:trHeight w:val="360"/>
        </w:trPr>
        <w:tc>
          <w:tcPr>
            <w:tcW w:w="2155" w:type="dxa"/>
          </w:tcPr>
          <w:p w:rsidR="00937800" w:rsidRDefault="00937800" w:rsidP="008C4ED0"/>
        </w:tc>
        <w:tc>
          <w:tcPr>
            <w:tcW w:w="6480" w:type="dxa"/>
          </w:tcPr>
          <w:p w:rsidR="00937800" w:rsidRDefault="00937800" w:rsidP="008C4ED0"/>
        </w:tc>
        <w:tc>
          <w:tcPr>
            <w:tcW w:w="2155" w:type="dxa"/>
          </w:tcPr>
          <w:p w:rsidR="00937800" w:rsidRDefault="00937800" w:rsidP="008C4ED0"/>
        </w:tc>
      </w:tr>
    </w:tbl>
    <w:p w:rsidR="00807A50" w:rsidRPr="00DE65BA" w:rsidRDefault="00807A50">
      <w:pPr>
        <w:rPr>
          <w:sz w:val="8"/>
          <w:szCs w:val="8"/>
        </w:rPr>
      </w:pPr>
    </w:p>
    <w:p w:rsidR="00937800" w:rsidRDefault="00937800" w:rsidP="00C37899">
      <w:pPr>
        <w:ind w:left="720" w:firstLine="720"/>
        <w:rPr>
          <w:b/>
          <w:u w:val="single"/>
        </w:rPr>
      </w:pPr>
    </w:p>
    <w:p w:rsidR="00807A50" w:rsidRPr="00937800" w:rsidRDefault="00937800" w:rsidP="00937800">
      <w:pPr>
        <w:ind w:left="5040"/>
        <w:rPr>
          <w:b/>
          <w:sz w:val="22"/>
        </w:rPr>
      </w:pPr>
      <w:r>
        <w:rPr>
          <w:b/>
        </w:rPr>
        <w:t xml:space="preserve">             </w:t>
      </w:r>
      <w:r>
        <w:rPr>
          <w:b/>
          <w:sz w:val="22"/>
        </w:rPr>
        <w:t>Total reimbursement:</w:t>
      </w:r>
      <w:r w:rsidR="00AA3086" w:rsidRPr="0093780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552864" w:rsidRPr="00937800">
        <w:rPr>
          <w:b/>
          <w:sz w:val="22"/>
        </w:rPr>
        <w:t>$</w:t>
      </w:r>
      <w:r w:rsidR="007345A2" w:rsidRPr="00937800">
        <w:rPr>
          <w:b/>
          <w:sz w:val="22"/>
        </w:rPr>
        <w:t>_______________</w:t>
      </w:r>
      <w:r w:rsidRPr="00937800">
        <w:rPr>
          <w:b/>
          <w:sz w:val="22"/>
        </w:rPr>
        <w:t>$1500 (max)</w:t>
      </w:r>
    </w:p>
    <w:p w:rsidR="007345A2" w:rsidRPr="00552864" w:rsidRDefault="007345A2" w:rsidP="00552864">
      <w:pPr>
        <w:ind w:left="5040" w:firstLine="720"/>
        <w:rPr>
          <w:b/>
          <w:sz w:val="16"/>
          <w:szCs w:val="16"/>
        </w:rPr>
      </w:pPr>
      <w:r w:rsidRPr="00552864">
        <w:rPr>
          <w:b/>
          <w:sz w:val="16"/>
          <w:szCs w:val="16"/>
        </w:rPr>
        <w:t xml:space="preserve">                                                 </w:t>
      </w:r>
    </w:p>
    <w:p w:rsidR="00807A50" w:rsidRPr="00DE65BA" w:rsidRDefault="00807A50">
      <w:pPr>
        <w:rPr>
          <w:sz w:val="8"/>
          <w:szCs w:val="8"/>
        </w:rPr>
      </w:pPr>
    </w:p>
    <w:p w:rsidR="0058007C" w:rsidRPr="00DE65BA" w:rsidRDefault="0058007C" w:rsidP="000D026D">
      <w:pPr>
        <w:rPr>
          <w:b/>
          <w:i/>
          <w:sz w:val="22"/>
          <w:szCs w:val="22"/>
        </w:rPr>
      </w:pPr>
      <w:r w:rsidRPr="00DE65BA">
        <w:rPr>
          <w:b/>
          <w:i/>
          <w:sz w:val="22"/>
          <w:szCs w:val="22"/>
        </w:rPr>
        <w:t>I certify the above infor</w:t>
      </w:r>
      <w:r w:rsidR="00C37899">
        <w:rPr>
          <w:b/>
          <w:i/>
          <w:sz w:val="22"/>
          <w:szCs w:val="22"/>
        </w:rPr>
        <w:t xml:space="preserve">mation is accurate and </w:t>
      </w:r>
      <w:r w:rsidRPr="00DE65BA">
        <w:rPr>
          <w:b/>
          <w:i/>
          <w:sz w:val="22"/>
          <w:szCs w:val="22"/>
        </w:rPr>
        <w:t>adhere</w:t>
      </w:r>
      <w:r w:rsidR="00C37899">
        <w:rPr>
          <w:b/>
          <w:i/>
          <w:sz w:val="22"/>
          <w:szCs w:val="22"/>
        </w:rPr>
        <w:t xml:space="preserve">s to </w:t>
      </w:r>
      <w:r w:rsidRPr="00DE65BA">
        <w:rPr>
          <w:b/>
          <w:i/>
          <w:sz w:val="22"/>
          <w:szCs w:val="22"/>
        </w:rPr>
        <w:t xml:space="preserve">Program </w:t>
      </w:r>
      <w:r w:rsidR="00937800">
        <w:rPr>
          <w:b/>
          <w:i/>
          <w:sz w:val="22"/>
          <w:szCs w:val="22"/>
        </w:rPr>
        <w:t xml:space="preserve">Criteria and </w:t>
      </w:r>
      <w:r w:rsidR="00C37899">
        <w:rPr>
          <w:b/>
          <w:i/>
          <w:sz w:val="22"/>
          <w:szCs w:val="22"/>
        </w:rPr>
        <w:t>Guidelines~</w:t>
      </w:r>
    </w:p>
    <w:p w:rsidR="00C31998" w:rsidRPr="00DE65BA" w:rsidRDefault="00C31998" w:rsidP="000D026D">
      <w:pPr>
        <w:rPr>
          <w:sz w:val="8"/>
          <w:szCs w:val="8"/>
        </w:rPr>
      </w:pPr>
    </w:p>
    <w:p w:rsidR="00937800" w:rsidRPr="002222A7" w:rsidRDefault="00937800">
      <w:pPr>
        <w:rPr>
          <w:b/>
          <w:sz w:val="24"/>
        </w:rPr>
      </w:pPr>
    </w:p>
    <w:p w:rsidR="0058007C" w:rsidRPr="002222A7" w:rsidRDefault="000D026D">
      <w:pPr>
        <w:rPr>
          <w:b/>
          <w:sz w:val="24"/>
        </w:rPr>
      </w:pPr>
      <w:r w:rsidRPr="002222A7">
        <w:rPr>
          <w:b/>
          <w:sz w:val="24"/>
        </w:rPr>
        <w:t>Employee Signature:  _____________________________</w:t>
      </w:r>
      <w:r w:rsidR="0058007C" w:rsidRPr="002222A7">
        <w:rPr>
          <w:b/>
          <w:sz w:val="24"/>
        </w:rPr>
        <w:t>_________________</w:t>
      </w:r>
      <w:r w:rsidR="0058007C" w:rsidRPr="002222A7">
        <w:rPr>
          <w:b/>
          <w:sz w:val="24"/>
        </w:rPr>
        <w:tab/>
      </w:r>
      <w:r w:rsidRPr="002222A7">
        <w:rPr>
          <w:b/>
          <w:sz w:val="24"/>
        </w:rPr>
        <w:t>Date: _____/_____/_____</w:t>
      </w:r>
    </w:p>
    <w:p w:rsidR="00C37899" w:rsidRPr="00C37899" w:rsidRDefault="00C37899">
      <w:pPr>
        <w:rPr>
          <w:b/>
          <w:sz w:val="8"/>
          <w:szCs w:val="8"/>
        </w:rPr>
      </w:pPr>
    </w:p>
    <w:p w:rsidR="00937800" w:rsidRDefault="00937800">
      <w:pPr>
        <w:rPr>
          <w:b/>
          <w:sz w:val="24"/>
        </w:rPr>
      </w:pPr>
    </w:p>
    <w:p w:rsidR="00C37899" w:rsidRPr="00C37899" w:rsidRDefault="00C37899">
      <w:pPr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</w:t>
      </w:r>
    </w:p>
    <w:p w:rsidR="0058007C" w:rsidRPr="00DE65BA" w:rsidRDefault="0058007C" w:rsidP="0058007C">
      <w:pPr>
        <w:rPr>
          <w:b/>
          <w:sz w:val="8"/>
          <w:szCs w:val="8"/>
          <w:u w:val="single"/>
        </w:rPr>
      </w:pPr>
    </w:p>
    <w:p w:rsidR="00A74440" w:rsidRPr="002222A7" w:rsidRDefault="00C37899">
      <w:pPr>
        <w:rPr>
          <w:b/>
          <w:u w:val="single"/>
        </w:rPr>
      </w:pPr>
      <w:r>
        <w:rPr>
          <w:b/>
          <w:u w:val="single"/>
        </w:rPr>
        <w:t>APPROVAL</w:t>
      </w:r>
    </w:p>
    <w:p w:rsidR="0058007C" w:rsidRPr="00C37899" w:rsidRDefault="0058007C">
      <w:pPr>
        <w:rPr>
          <w:b/>
          <w:sz w:val="24"/>
        </w:rPr>
      </w:pPr>
      <w:r w:rsidRPr="00C37899">
        <w:rPr>
          <w:b/>
          <w:sz w:val="24"/>
        </w:rPr>
        <w:t>Human Resources:  ________________________________________________</w:t>
      </w:r>
      <w:r w:rsidRPr="00C37899">
        <w:rPr>
          <w:b/>
          <w:sz w:val="24"/>
        </w:rPr>
        <w:tab/>
        <w:t>Date: _____/_____/_____</w:t>
      </w:r>
    </w:p>
    <w:p w:rsidR="002222A7" w:rsidRDefault="002222A7" w:rsidP="002222A7">
      <w:pPr>
        <w:ind w:left="9360" w:firstLine="720"/>
        <w:rPr>
          <w:sz w:val="16"/>
        </w:rPr>
      </w:pPr>
      <w:r>
        <w:rPr>
          <w:sz w:val="16"/>
        </w:rPr>
        <w:t xml:space="preserve">      </w:t>
      </w:r>
    </w:p>
    <w:p w:rsidR="007F6006" w:rsidRDefault="002222A7" w:rsidP="002222A7">
      <w:pPr>
        <w:ind w:left="9360" w:firstLine="720"/>
        <w:rPr>
          <w:sz w:val="16"/>
        </w:rPr>
      </w:pPr>
      <w:r>
        <w:rPr>
          <w:sz w:val="16"/>
        </w:rPr>
        <w:t xml:space="preserve">     </w:t>
      </w:r>
      <w:r w:rsidR="00937800">
        <w:rPr>
          <w:b/>
          <w:sz w:val="16"/>
        </w:rPr>
        <w:t>7/2020</w:t>
      </w:r>
    </w:p>
    <w:p w:rsidR="00082EA4" w:rsidRPr="00937800" w:rsidRDefault="00937800" w:rsidP="002222A7">
      <w:pPr>
        <w:jc w:val="both"/>
        <w:rPr>
          <w:b/>
          <w:sz w:val="32"/>
          <w:szCs w:val="32"/>
        </w:rPr>
      </w:pPr>
      <w:r w:rsidRPr="00937800">
        <w:rPr>
          <w:b/>
          <w:sz w:val="32"/>
          <w:szCs w:val="32"/>
        </w:rPr>
        <w:t xml:space="preserve">SHG </w:t>
      </w:r>
      <w:r w:rsidR="00082EA4" w:rsidRPr="00937800">
        <w:rPr>
          <w:b/>
          <w:sz w:val="32"/>
          <w:szCs w:val="32"/>
        </w:rPr>
        <w:t>Relocation Reimbursement Guide</w:t>
      </w:r>
      <w:r w:rsidRPr="00937800">
        <w:rPr>
          <w:b/>
          <w:sz w:val="32"/>
          <w:szCs w:val="32"/>
        </w:rPr>
        <w:t>lines</w:t>
      </w:r>
    </w:p>
    <w:p w:rsidR="00082EA4" w:rsidRDefault="00082EA4" w:rsidP="002222A7">
      <w:pPr>
        <w:jc w:val="both"/>
        <w:rPr>
          <w:sz w:val="24"/>
        </w:rPr>
      </w:pPr>
    </w:p>
    <w:p w:rsidR="00082EA4" w:rsidRDefault="00082EA4" w:rsidP="002222A7">
      <w:pPr>
        <w:jc w:val="both"/>
        <w:rPr>
          <w:sz w:val="24"/>
        </w:rPr>
      </w:pPr>
      <w:r>
        <w:rPr>
          <w:sz w:val="24"/>
        </w:rPr>
        <w:t xml:space="preserve">The SHG Relocation Reimbursement Program adheres as closely as possible to the IRS moving expense guidelines.  In some instances, the </w:t>
      </w:r>
      <w:r w:rsidR="00501C5F">
        <w:rPr>
          <w:sz w:val="24"/>
        </w:rPr>
        <w:t xml:space="preserve">SHG benefit </w:t>
      </w:r>
      <w:r>
        <w:rPr>
          <w:sz w:val="24"/>
        </w:rPr>
        <w:t xml:space="preserve">is greater than that allowed by the IRS.  As each relocation scenario varies greatly, please do not hesitate </w:t>
      </w:r>
      <w:r w:rsidR="005C25AE">
        <w:rPr>
          <w:sz w:val="24"/>
        </w:rPr>
        <w:t>to</w:t>
      </w:r>
      <w:r w:rsidR="00501C5F">
        <w:rPr>
          <w:sz w:val="24"/>
        </w:rPr>
        <w:t xml:space="preserve"> direct </w:t>
      </w:r>
      <w:r w:rsidR="005C25AE">
        <w:rPr>
          <w:sz w:val="24"/>
        </w:rPr>
        <w:t xml:space="preserve">questions to </w:t>
      </w:r>
      <w:r>
        <w:rPr>
          <w:sz w:val="24"/>
        </w:rPr>
        <w:t>Human Re</w:t>
      </w:r>
      <w:r w:rsidR="00501C5F">
        <w:rPr>
          <w:sz w:val="24"/>
        </w:rPr>
        <w:t>sources</w:t>
      </w:r>
      <w:r w:rsidR="00937800">
        <w:rPr>
          <w:sz w:val="24"/>
        </w:rPr>
        <w:t xml:space="preserve"> at 719.383.5428</w:t>
      </w:r>
      <w:r>
        <w:rPr>
          <w:sz w:val="24"/>
        </w:rPr>
        <w:t>.</w:t>
      </w:r>
    </w:p>
    <w:p w:rsidR="00501C5F" w:rsidRDefault="00501C5F" w:rsidP="002222A7">
      <w:pPr>
        <w:jc w:val="both"/>
        <w:rPr>
          <w:sz w:val="24"/>
        </w:rPr>
      </w:pPr>
    </w:p>
    <w:p w:rsidR="00EC4B9B" w:rsidRDefault="00293CD7" w:rsidP="002222A7">
      <w:pPr>
        <w:jc w:val="both"/>
        <w:rPr>
          <w:sz w:val="24"/>
        </w:rPr>
      </w:pPr>
      <w:r>
        <w:rPr>
          <w:b/>
          <w:sz w:val="24"/>
          <w:u w:val="single"/>
        </w:rPr>
        <w:t>PROGRAM DETAILS</w:t>
      </w:r>
    </w:p>
    <w:p w:rsidR="00EC4B9B" w:rsidRPr="00EC4B9B" w:rsidRDefault="00EC4B9B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</w:t>
      </w:r>
      <w:r w:rsidRPr="00EC4B9B">
        <w:rPr>
          <w:sz w:val="24"/>
        </w:rPr>
        <w:t>mployee is responsible for paying all relocation expenses</w:t>
      </w:r>
      <w:r w:rsidR="00E42347">
        <w:rPr>
          <w:sz w:val="24"/>
        </w:rPr>
        <w:t xml:space="preserve"> up front;</w:t>
      </w:r>
      <w:r>
        <w:rPr>
          <w:sz w:val="24"/>
        </w:rPr>
        <w:t xml:space="preserve"> advance payment unavailable.</w:t>
      </w:r>
    </w:p>
    <w:p w:rsidR="00937800" w:rsidRDefault="00EC4B9B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F72D93">
        <w:rPr>
          <w:i/>
          <w:sz w:val="24"/>
        </w:rPr>
        <w:t>R</w:t>
      </w:r>
      <w:r w:rsidR="00937800">
        <w:rPr>
          <w:i/>
          <w:sz w:val="24"/>
        </w:rPr>
        <w:t xml:space="preserve">elocation </w:t>
      </w:r>
      <w:r w:rsidRPr="00F72D93">
        <w:rPr>
          <w:i/>
          <w:sz w:val="24"/>
        </w:rPr>
        <w:t>Reimbursement Request</w:t>
      </w:r>
      <w:r w:rsidRPr="00EC4B9B">
        <w:rPr>
          <w:sz w:val="24"/>
        </w:rPr>
        <w:t xml:space="preserve"> form must be completed as directed and submitted within 30 days of the Date of Hire (first pai</w:t>
      </w:r>
      <w:r>
        <w:rPr>
          <w:sz w:val="24"/>
        </w:rPr>
        <w:t>d day on the job</w:t>
      </w:r>
      <w:r w:rsidRPr="00EC4B9B">
        <w:rPr>
          <w:sz w:val="24"/>
        </w:rPr>
        <w:t>).</w:t>
      </w:r>
      <w:r w:rsidR="00293CD7">
        <w:rPr>
          <w:sz w:val="24"/>
        </w:rPr>
        <w:t xml:space="preserve">  </w:t>
      </w:r>
    </w:p>
    <w:p w:rsidR="00EC4B9B" w:rsidRPr="002222A7" w:rsidRDefault="002222A7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2222A7">
        <w:rPr>
          <w:sz w:val="24"/>
        </w:rPr>
        <w:t xml:space="preserve">Maximum reimbursement:  </w:t>
      </w:r>
      <w:r w:rsidR="00937800" w:rsidRPr="002222A7">
        <w:rPr>
          <w:sz w:val="24"/>
        </w:rPr>
        <w:t>FT/40 status</w:t>
      </w:r>
      <w:r w:rsidRPr="002222A7">
        <w:rPr>
          <w:sz w:val="24"/>
        </w:rPr>
        <w:t xml:space="preserve"> - </w:t>
      </w:r>
      <w:r>
        <w:rPr>
          <w:sz w:val="24"/>
        </w:rPr>
        <w:t>$1500; FT/30 status - $1125; PRN - $375 to $750 (based on work hours per week).</w:t>
      </w:r>
    </w:p>
    <w:p w:rsidR="00E42347" w:rsidRDefault="00F72D93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Required: copy of r</w:t>
      </w:r>
      <w:r w:rsidR="00EC4B9B" w:rsidRPr="00EC4B9B">
        <w:rPr>
          <w:sz w:val="24"/>
        </w:rPr>
        <w:t>eceipts</w:t>
      </w:r>
      <w:r>
        <w:rPr>
          <w:sz w:val="24"/>
        </w:rPr>
        <w:t xml:space="preserve"> </w:t>
      </w:r>
      <w:r w:rsidR="00EC4B9B" w:rsidRPr="00EC4B9B">
        <w:rPr>
          <w:sz w:val="24"/>
        </w:rPr>
        <w:t>fo</w:t>
      </w:r>
      <w:r w:rsidR="00EC4B9B">
        <w:rPr>
          <w:sz w:val="24"/>
        </w:rPr>
        <w:t xml:space="preserve">r reported expenses </w:t>
      </w:r>
      <w:r>
        <w:rPr>
          <w:sz w:val="24"/>
        </w:rPr>
        <w:t xml:space="preserve">and/or mileage </w:t>
      </w:r>
      <w:r w:rsidR="00EC4B9B">
        <w:rPr>
          <w:sz w:val="24"/>
        </w:rPr>
        <w:t>distance verification</w:t>
      </w:r>
      <w:r w:rsidR="00EC4B9B" w:rsidRPr="00EC4B9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r w:rsidR="00E42347">
        <w:rPr>
          <w:sz w:val="24"/>
        </w:rPr>
        <w:t>e</w:t>
      </w:r>
      <w:proofErr w:type="spellEnd"/>
      <w:r w:rsidR="00E42347">
        <w:rPr>
          <w:sz w:val="24"/>
        </w:rPr>
        <w:t xml:space="preserve"> MapQuest).</w:t>
      </w:r>
    </w:p>
    <w:p w:rsidR="00501C5F" w:rsidRPr="00F72D93" w:rsidRDefault="00E42347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</w:t>
      </w:r>
      <w:r w:rsidRPr="00E42347">
        <w:rPr>
          <w:sz w:val="24"/>
        </w:rPr>
        <w:t>xpenses</w:t>
      </w:r>
      <w:r>
        <w:rPr>
          <w:sz w:val="24"/>
        </w:rPr>
        <w:t xml:space="preserve"> must be</w:t>
      </w:r>
      <w:r w:rsidRPr="00E42347">
        <w:rPr>
          <w:sz w:val="24"/>
        </w:rPr>
        <w:t xml:space="preserve"> incurred in the shortest, most direct route </w:t>
      </w:r>
      <w:r>
        <w:rPr>
          <w:sz w:val="24"/>
        </w:rPr>
        <w:t>available</w:t>
      </w:r>
      <w:r w:rsidRPr="00E42347">
        <w:rPr>
          <w:sz w:val="24"/>
        </w:rPr>
        <w:t xml:space="preserve">.  </w:t>
      </w:r>
    </w:p>
    <w:p w:rsidR="00C15881" w:rsidRPr="00E42347" w:rsidRDefault="00F72D93" w:rsidP="002222A7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</w:t>
      </w:r>
      <w:r w:rsidR="00501C5F" w:rsidRPr="00EC4B9B">
        <w:rPr>
          <w:sz w:val="24"/>
        </w:rPr>
        <w:t>oluntary</w:t>
      </w:r>
      <w:r>
        <w:rPr>
          <w:sz w:val="24"/>
        </w:rPr>
        <w:t xml:space="preserve"> R</w:t>
      </w:r>
      <w:r w:rsidR="00082EA4" w:rsidRPr="00EC4B9B">
        <w:rPr>
          <w:sz w:val="24"/>
        </w:rPr>
        <w:t>esign</w:t>
      </w:r>
      <w:r w:rsidR="00501C5F" w:rsidRPr="00EC4B9B">
        <w:rPr>
          <w:sz w:val="24"/>
        </w:rPr>
        <w:t>ation</w:t>
      </w:r>
      <w:r w:rsidR="00082EA4" w:rsidRPr="00EC4B9B">
        <w:rPr>
          <w:sz w:val="24"/>
        </w:rPr>
        <w:t xml:space="preserve"> before </w:t>
      </w:r>
      <w:r w:rsidR="00EC4B9B" w:rsidRPr="00EC4B9B">
        <w:rPr>
          <w:sz w:val="24"/>
        </w:rPr>
        <w:t xml:space="preserve">12 months service </w:t>
      </w:r>
      <w:r w:rsidR="005C25AE" w:rsidRPr="00EC4B9B">
        <w:rPr>
          <w:sz w:val="24"/>
        </w:rPr>
        <w:t xml:space="preserve">may </w:t>
      </w:r>
      <w:r>
        <w:rPr>
          <w:sz w:val="24"/>
        </w:rPr>
        <w:t>require full/</w:t>
      </w:r>
      <w:r w:rsidR="00EC4B9B" w:rsidRPr="00EC4B9B">
        <w:rPr>
          <w:sz w:val="24"/>
        </w:rPr>
        <w:t xml:space="preserve">partial </w:t>
      </w:r>
      <w:r w:rsidR="00C15881" w:rsidRPr="00EC4B9B">
        <w:rPr>
          <w:sz w:val="24"/>
        </w:rPr>
        <w:t>reimburse</w:t>
      </w:r>
      <w:r>
        <w:rPr>
          <w:sz w:val="24"/>
        </w:rPr>
        <w:t>ment</w:t>
      </w:r>
      <w:r w:rsidR="00E42347">
        <w:rPr>
          <w:sz w:val="24"/>
        </w:rPr>
        <w:t xml:space="preserve"> to the agency via payroll deduct and/or invoice (see “Time Test” below for additional details)</w:t>
      </w:r>
      <w:r w:rsidR="00C15881" w:rsidRPr="00E42347">
        <w:rPr>
          <w:sz w:val="24"/>
        </w:rPr>
        <w:t>:</w:t>
      </w:r>
    </w:p>
    <w:p w:rsidR="00C15881" w:rsidRPr="00EC4B9B" w:rsidRDefault="00C15881" w:rsidP="002222A7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C4B9B">
        <w:rPr>
          <w:sz w:val="24"/>
        </w:rPr>
        <w:t xml:space="preserve">Less than 39 </w:t>
      </w:r>
      <w:r w:rsidR="00924FF1">
        <w:rPr>
          <w:sz w:val="24"/>
        </w:rPr>
        <w:t xml:space="preserve">full </w:t>
      </w:r>
      <w:r w:rsidRPr="00EC4B9B">
        <w:rPr>
          <w:sz w:val="24"/>
        </w:rPr>
        <w:t>weeks of service</w:t>
      </w:r>
      <w:r w:rsidR="00EC4B9B" w:rsidRPr="00EC4B9B">
        <w:rPr>
          <w:sz w:val="24"/>
        </w:rPr>
        <w:t xml:space="preserve">: </w:t>
      </w:r>
      <w:r w:rsidR="00924FF1">
        <w:rPr>
          <w:sz w:val="24"/>
        </w:rPr>
        <w:t xml:space="preserve"> Full amount owed</w:t>
      </w:r>
    </w:p>
    <w:p w:rsidR="003E3505" w:rsidRPr="00924FF1" w:rsidRDefault="00924FF1" w:rsidP="002222A7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39 full weeks—b</w:t>
      </w:r>
      <w:r w:rsidRPr="00924FF1">
        <w:rPr>
          <w:sz w:val="24"/>
        </w:rPr>
        <w:t>ut l</w:t>
      </w:r>
      <w:r>
        <w:rPr>
          <w:sz w:val="24"/>
        </w:rPr>
        <w:t>ess than 12 full months—</w:t>
      </w:r>
      <w:r w:rsidRPr="00924FF1">
        <w:rPr>
          <w:sz w:val="24"/>
        </w:rPr>
        <w:t xml:space="preserve">of service: </w:t>
      </w:r>
      <w:r>
        <w:rPr>
          <w:sz w:val="24"/>
        </w:rPr>
        <w:t xml:space="preserve"> </w:t>
      </w:r>
      <w:r w:rsidR="00F72D93" w:rsidRPr="00924FF1">
        <w:rPr>
          <w:sz w:val="24"/>
        </w:rPr>
        <w:t>P</w:t>
      </w:r>
      <w:r w:rsidR="005C25AE" w:rsidRPr="00924FF1">
        <w:rPr>
          <w:sz w:val="24"/>
        </w:rPr>
        <w:t>rorated amount</w:t>
      </w:r>
      <w:r w:rsidRPr="00924FF1">
        <w:rPr>
          <w:sz w:val="24"/>
        </w:rPr>
        <w:t xml:space="preserve"> owed</w:t>
      </w:r>
    </w:p>
    <w:p w:rsidR="00E42347" w:rsidRDefault="00E42347" w:rsidP="002222A7">
      <w:pPr>
        <w:jc w:val="both"/>
        <w:rPr>
          <w:b/>
          <w:sz w:val="24"/>
          <w:u w:val="single"/>
        </w:rPr>
      </w:pPr>
    </w:p>
    <w:p w:rsidR="003E3505" w:rsidRPr="00F72D93" w:rsidRDefault="00E42347" w:rsidP="002222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REIMBURSEMENT CRITERIA</w:t>
      </w:r>
    </w:p>
    <w:p w:rsidR="003E3505" w:rsidRPr="00E42347" w:rsidRDefault="00E42347" w:rsidP="002222A7">
      <w:pPr>
        <w:jc w:val="both"/>
        <w:rPr>
          <w:sz w:val="24"/>
        </w:rPr>
      </w:pPr>
      <w:r>
        <w:rPr>
          <w:sz w:val="24"/>
        </w:rPr>
        <w:t>SHG</w:t>
      </w:r>
      <w:r w:rsidR="003E3505" w:rsidRPr="00E42347">
        <w:rPr>
          <w:sz w:val="24"/>
        </w:rPr>
        <w:t xml:space="preserve"> reimburse</w:t>
      </w:r>
      <w:r>
        <w:rPr>
          <w:sz w:val="24"/>
        </w:rPr>
        <w:t>s</w:t>
      </w:r>
      <w:r w:rsidR="003E3505" w:rsidRPr="00E42347">
        <w:rPr>
          <w:sz w:val="24"/>
        </w:rPr>
        <w:t xml:space="preserve"> </w:t>
      </w:r>
      <w:r w:rsidRPr="00E42347">
        <w:rPr>
          <w:sz w:val="24"/>
        </w:rPr>
        <w:t xml:space="preserve">those expenses </w:t>
      </w:r>
      <w:r w:rsidR="003E3505" w:rsidRPr="00E42347">
        <w:rPr>
          <w:sz w:val="24"/>
        </w:rPr>
        <w:t>con</w:t>
      </w:r>
      <w:r w:rsidRPr="00E42347">
        <w:rPr>
          <w:sz w:val="24"/>
        </w:rPr>
        <w:t xml:space="preserve">sidered </w:t>
      </w:r>
      <w:r w:rsidR="003E3505" w:rsidRPr="00E42347">
        <w:rPr>
          <w:b/>
          <w:sz w:val="24"/>
        </w:rPr>
        <w:t>deductible</w:t>
      </w:r>
      <w:r w:rsidRPr="00E42347">
        <w:rPr>
          <w:b/>
          <w:sz w:val="24"/>
        </w:rPr>
        <w:t xml:space="preserve"> </w:t>
      </w:r>
      <w:r w:rsidRPr="00E42347">
        <w:rPr>
          <w:sz w:val="24"/>
        </w:rPr>
        <w:t>by the IRS, as well as</w:t>
      </w:r>
      <w:r w:rsidR="003E3505" w:rsidRPr="00E42347">
        <w:rPr>
          <w:sz w:val="24"/>
        </w:rPr>
        <w:t xml:space="preserve"> specified </w:t>
      </w:r>
      <w:r>
        <w:rPr>
          <w:b/>
          <w:sz w:val="24"/>
        </w:rPr>
        <w:t>non</w:t>
      </w:r>
      <w:r w:rsidR="003E3505" w:rsidRPr="00E42347">
        <w:rPr>
          <w:b/>
          <w:sz w:val="24"/>
        </w:rPr>
        <w:t>deductible</w:t>
      </w:r>
      <w:r w:rsidR="003E3505" w:rsidRPr="00E42347">
        <w:rPr>
          <w:sz w:val="24"/>
        </w:rPr>
        <w:t xml:space="preserve"> expenses.  </w:t>
      </w:r>
      <w:r w:rsidR="002222A7">
        <w:rPr>
          <w:sz w:val="24"/>
        </w:rPr>
        <w:t>Also, the following IRS related items must be met</w:t>
      </w:r>
      <w:r>
        <w:rPr>
          <w:sz w:val="24"/>
        </w:rPr>
        <w:t>:</w:t>
      </w:r>
      <w:r w:rsidRPr="00E42347">
        <w:rPr>
          <w:sz w:val="24"/>
        </w:rPr>
        <w:t xml:space="preserve">  </w:t>
      </w:r>
    </w:p>
    <w:p w:rsidR="00815CBB" w:rsidRPr="00E42347" w:rsidRDefault="00815CBB" w:rsidP="002222A7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42347">
        <w:rPr>
          <w:b/>
          <w:sz w:val="24"/>
        </w:rPr>
        <w:t>DISTA</w:t>
      </w:r>
      <w:r w:rsidR="00E42347" w:rsidRPr="00E42347">
        <w:rPr>
          <w:b/>
          <w:sz w:val="24"/>
        </w:rPr>
        <w:t>NCE</w:t>
      </w:r>
      <w:r w:rsidR="00E42347">
        <w:rPr>
          <w:b/>
          <w:sz w:val="24"/>
        </w:rPr>
        <w:t xml:space="preserve"> TEST</w:t>
      </w:r>
      <w:r w:rsidR="00E42347" w:rsidRPr="00E42347">
        <w:rPr>
          <w:sz w:val="24"/>
        </w:rPr>
        <w:tab/>
      </w:r>
      <w:r w:rsidRPr="00E42347">
        <w:rPr>
          <w:sz w:val="24"/>
        </w:rPr>
        <w:t xml:space="preserve">The new job must be a minimum of 50 miles farther from the employee’s former home than the old job.  </w:t>
      </w:r>
      <w:r w:rsidR="00E42347">
        <w:rPr>
          <w:sz w:val="24"/>
        </w:rPr>
        <w:t>For example, i</w:t>
      </w:r>
      <w:r w:rsidRPr="00E42347">
        <w:rPr>
          <w:sz w:val="24"/>
        </w:rPr>
        <w:t xml:space="preserve">f the old job was </w:t>
      </w:r>
      <w:r w:rsidR="00E42347">
        <w:rPr>
          <w:sz w:val="24"/>
        </w:rPr>
        <w:t>3</w:t>
      </w:r>
      <w:r w:rsidRPr="00E42347">
        <w:rPr>
          <w:sz w:val="24"/>
        </w:rPr>
        <w:t xml:space="preserve"> miles from the employee’s former home, the new job must be </w:t>
      </w:r>
      <w:r w:rsidR="00E42347">
        <w:rPr>
          <w:sz w:val="24"/>
        </w:rPr>
        <w:t>a minimum of 53</w:t>
      </w:r>
      <w:r w:rsidRPr="00E42347">
        <w:rPr>
          <w:sz w:val="24"/>
        </w:rPr>
        <w:t xml:space="preserve"> miles from his/her former home to qualify as a reimbursable expense. </w:t>
      </w:r>
    </w:p>
    <w:p w:rsidR="005C25AE" w:rsidRPr="00E42347" w:rsidRDefault="00E42347" w:rsidP="002222A7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>TIME TEST</w:t>
      </w:r>
      <w:r w:rsidRPr="00E42347">
        <w:rPr>
          <w:sz w:val="24"/>
        </w:rPr>
        <w:tab/>
      </w:r>
      <w:r>
        <w:rPr>
          <w:sz w:val="24"/>
        </w:rPr>
        <w:tab/>
        <w:t>E</w:t>
      </w:r>
      <w:r w:rsidR="005C25AE" w:rsidRPr="00E42347">
        <w:rPr>
          <w:sz w:val="24"/>
        </w:rPr>
        <w:t>mployee must work full-time i</w:t>
      </w:r>
      <w:r w:rsidR="002F1271" w:rsidRPr="00E42347">
        <w:rPr>
          <w:sz w:val="24"/>
        </w:rPr>
        <w:t xml:space="preserve">n the general </w:t>
      </w:r>
      <w:r w:rsidR="005C25AE" w:rsidRPr="00E42347">
        <w:rPr>
          <w:sz w:val="24"/>
        </w:rPr>
        <w:t>vicinity of the new job location for at least 39</w:t>
      </w:r>
      <w:r w:rsidR="002F1271" w:rsidRPr="00E42347">
        <w:rPr>
          <w:sz w:val="24"/>
        </w:rPr>
        <w:t xml:space="preserve"> weeks of the first 12 mont</w:t>
      </w:r>
      <w:r w:rsidR="005C25AE" w:rsidRPr="00E42347">
        <w:rPr>
          <w:sz w:val="24"/>
        </w:rPr>
        <w:t>h</w:t>
      </w:r>
      <w:r w:rsidR="002F1271" w:rsidRPr="00E42347">
        <w:rPr>
          <w:sz w:val="24"/>
        </w:rPr>
        <w:t>s after r</w:t>
      </w:r>
      <w:r w:rsidR="005C25AE" w:rsidRPr="00E42347">
        <w:rPr>
          <w:sz w:val="24"/>
        </w:rPr>
        <w:t>elocating.  If the employee leav</w:t>
      </w:r>
      <w:r w:rsidR="002F1271" w:rsidRPr="00E42347">
        <w:rPr>
          <w:sz w:val="24"/>
        </w:rPr>
        <w:t>es before working 39</w:t>
      </w:r>
      <w:r w:rsidR="005C25AE" w:rsidRPr="00E42347">
        <w:rPr>
          <w:sz w:val="24"/>
        </w:rPr>
        <w:t xml:space="preserve"> weeks and does not repay th</w:t>
      </w:r>
      <w:r>
        <w:rPr>
          <w:sz w:val="24"/>
        </w:rPr>
        <w:t>e moving expe</w:t>
      </w:r>
      <w:r w:rsidR="005C25AE" w:rsidRPr="00E42347">
        <w:rPr>
          <w:sz w:val="24"/>
        </w:rPr>
        <w:t>ns</w:t>
      </w:r>
      <w:r>
        <w:rPr>
          <w:sz w:val="24"/>
        </w:rPr>
        <w:t xml:space="preserve">e reimbursement, </w:t>
      </w:r>
      <w:r w:rsidR="005C25AE" w:rsidRPr="00E42347">
        <w:rPr>
          <w:sz w:val="24"/>
        </w:rPr>
        <w:t>the entire p</w:t>
      </w:r>
      <w:r>
        <w:rPr>
          <w:sz w:val="24"/>
        </w:rPr>
        <w:t>ayment is considered a non</w:t>
      </w:r>
      <w:r w:rsidR="005C25AE" w:rsidRPr="00E42347">
        <w:rPr>
          <w:sz w:val="24"/>
        </w:rPr>
        <w:t>qualified reimbursemen</w:t>
      </w:r>
      <w:r w:rsidR="002222A7">
        <w:rPr>
          <w:sz w:val="24"/>
        </w:rPr>
        <w:t>t.  This</w:t>
      </w:r>
      <w:r>
        <w:rPr>
          <w:sz w:val="24"/>
        </w:rPr>
        <w:t xml:space="preserve"> is waived if</w:t>
      </w:r>
      <w:r w:rsidR="005C25AE" w:rsidRPr="00E42347">
        <w:rPr>
          <w:sz w:val="24"/>
        </w:rPr>
        <w:t xml:space="preserve"> the employee can</w:t>
      </w:r>
      <w:r>
        <w:rPr>
          <w:sz w:val="24"/>
        </w:rPr>
        <w:t xml:space="preserve">not meet </w:t>
      </w:r>
      <w:r w:rsidR="002222A7">
        <w:rPr>
          <w:sz w:val="24"/>
        </w:rPr>
        <w:t xml:space="preserve">the requirement </w:t>
      </w:r>
      <w:r>
        <w:rPr>
          <w:sz w:val="24"/>
        </w:rPr>
        <w:t>due to</w:t>
      </w:r>
      <w:r w:rsidR="005C25AE" w:rsidRPr="00E42347">
        <w:rPr>
          <w:sz w:val="24"/>
        </w:rPr>
        <w:t xml:space="preserve"> death, d</w:t>
      </w:r>
      <w:r>
        <w:rPr>
          <w:sz w:val="24"/>
        </w:rPr>
        <w:t>isability, involuntary termination (other than</w:t>
      </w:r>
      <w:r w:rsidR="005C25AE" w:rsidRPr="00E42347">
        <w:rPr>
          <w:sz w:val="24"/>
        </w:rPr>
        <w:t xml:space="preserve"> willful misconduct), or transfer </w:t>
      </w:r>
      <w:r>
        <w:rPr>
          <w:sz w:val="24"/>
        </w:rPr>
        <w:t xml:space="preserve">for </w:t>
      </w:r>
      <w:r w:rsidR="005C25AE" w:rsidRPr="00E42347">
        <w:rPr>
          <w:sz w:val="24"/>
        </w:rPr>
        <w:t>the employee’s benefit.</w:t>
      </w:r>
    </w:p>
    <w:p w:rsidR="005C25AE" w:rsidRDefault="005C25AE" w:rsidP="002222A7">
      <w:pPr>
        <w:jc w:val="both"/>
        <w:rPr>
          <w:sz w:val="24"/>
        </w:rPr>
      </w:pPr>
      <w:r>
        <w:rPr>
          <w:sz w:val="24"/>
        </w:rPr>
        <w:t>I</w:t>
      </w:r>
      <w:r w:rsidR="00E42347">
        <w:rPr>
          <w:sz w:val="24"/>
        </w:rPr>
        <w:t xml:space="preserve">f either </w:t>
      </w:r>
      <w:r w:rsidR="002222A7">
        <w:rPr>
          <w:sz w:val="24"/>
        </w:rPr>
        <w:t>test is not met, all</w:t>
      </w:r>
      <w:r>
        <w:rPr>
          <w:sz w:val="24"/>
        </w:rPr>
        <w:t xml:space="preserve"> moving expenses are considered nondeductible and any reimbursement </w:t>
      </w:r>
      <w:r w:rsidR="00E42347">
        <w:rPr>
          <w:sz w:val="24"/>
        </w:rPr>
        <w:t>received i</w:t>
      </w:r>
      <w:r>
        <w:rPr>
          <w:sz w:val="24"/>
        </w:rPr>
        <w:t>s considered taxable income to the employee.  The employee is responsible for reporting the income to the IRS in the absence of a 1099 form requirement.</w:t>
      </w:r>
    </w:p>
    <w:p w:rsidR="005C25AE" w:rsidRDefault="005C25AE" w:rsidP="002222A7">
      <w:pPr>
        <w:jc w:val="both"/>
        <w:rPr>
          <w:sz w:val="24"/>
        </w:rPr>
      </w:pPr>
    </w:p>
    <w:p w:rsidR="005C25AE" w:rsidRPr="00E42347" w:rsidRDefault="005C25AE" w:rsidP="002222A7">
      <w:pPr>
        <w:jc w:val="both"/>
        <w:rPr>
          <w:sz w:val="24"/>
        </w:rPr>
      </w:pPr>
      <w:r w:rsidRPr="00E42347">
        <w:rPr>
          <w:b/>
          <w:sz w:val="24"/>
          <w:u w:val="single"/>
        </w:rPr>
        <w:t>QUALIFIED DEDUCTIBLE EXPENSES</w:t>
      </w:r>
      <w:r w:rsidR="00E42347" w:rsidRPr="00E42347">
        <w:rPr>
          <w:sz w:val="24"/>
        </w:rPr>
        <w:br/>
      </w:r>
      <w:r w:rsidRPr="007C6526">
        <w:rPr>
          <w:b/>
          <w:sz w:val="24"/>
        </w:rPr>
        <w:t>Transportation of household goods</w:t>
      </w:r>
      <w:r w:rsidR="007C6526">
        <w:rPr>
          <w:b/>
          <w:sz w:val="24"/>
        </w:rPr>
        <w:t xml:space="preserve"> and personal effects</w:t>
      </w:r>
    </w:p>
    <w:p w:rsidR="005C25AE" w:rsidRPr="007C6526" w:rsidRDefault="005C25AE" w:rsidP="002222A7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7C6526">
        <w:rPr>
          <w:sz w:val="24"/>
        </w:rPr>
        <w:t>Moving company fee;</w:t>
      </w:r>
    </w:p>
    <w:p w:rsidR="002B44F4" w:rsidRPr="007C6526" w:rsidRDefault="005C25AE" w:rsidP="002222A7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7C6526">
        <w:rPr>
          <w:sz w:val="24"/>
        </w:rPr>
        <w:t>Moving truck rental</w:t>
      </w:r>
      <w:r w:rsidR="002B44F4" w:rsidRPr="007C6526">
        <w:rPr>
          <w:sz w:val="24"/>
        </w:rPr>
        <w:t xml:space="preserve">, </w:t>
      </w:r>
      <w:r w:rsidRPr="007C6526">
        <w:rPr>
          <w:sz w:val="24"/>
        </w:rPr>
        <w:t>gas, parking fee</w:t>
      </w:r>
      <w:r w:rsidR="002B44F4" w:rsidRPr="007C6526">
        <w:rPr>
          <w:sz w:val="24"/>
        </w:rPr>
        <w:t>s, and tolls;</w:t>
      </w:r>
    </w:p>
    <w:p w:rsidR="005C25AE" w:rsidRPr="007C6526" w:rsidRDefault="005C25AE" w:rsidP="002222A7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7C6526">
        <w:rPr>
          <w:sz w:val="24"/>
        </w:rPr>
        <w:t>Packing supplies (</w:t>
      </w:r>
      <w:proofErr w:type="spellStart"/>
      <w:r w:rsidRPr="007C6526">
        <w:rPr>
          <w:sz w:val="24"/>
        </w:rPr>
        <w:t>ie</w:t>
      </w:r>
      <w:proofErr w:type="spellEnd"/>
      <w:r w:rsidRPr="007C6526">
        <w:rPr>
          <w:sz w:val="24"/>
        </w:rPr>
        <w:t xml:space="preserve"> boxes, tape, rope);</w:t>
      </w:r>
      <w:r w:rsidR="007C6526">
        <w:rPr>
          <w:sz w:val="24"/>
        </w:rPr>
        <w:t xml:space="preserve"> and</w:t>
      </w:r>
    </w:p>
    <w:p w:rsidR="005C25AE" w:rsidRPr="007C6526" w:rsidRDefault="005C25AE" w:rsidP="002222A7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7C6526">
        <w:rPr>
          <w:sz w:val="24"/>
        </w:rPr>
        <w:t>Storage of household goods and personal efforts for a period of up to 30 days.</w:t>
      </w:r>
    </w:p>
    <w:p w:rsidR="005C25AE" w:rsidRPr="007C6526" w:rsidRDefault="002B44F4" w:rsidP="002222A7">
      <w:pPr>
        <w:jc w:val="both"/>
        <w:rPr>
          <w:b/>
          <w:sz w:val="24"/>
        </w:rPr>
      </w:pPr>
      <w:r w:rsidRPr="007C6526">
        <w:rPr>
          <w:b/>
          <w:sz w:val="24"/>
        </w:rPr>
        <w:t>Travel to new household</w:t>
      </w:r>
    </w:p>
    <w:p w:rsidR="002B44F4" w:rsidRPr="007C6526" w:rsidRDefault="007C6526" w:rsidP="002222A7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Coach airfare </w:t>
      </w:r>
      <w:r w:rsidR="002B44F4" w:rsidRPr="007C6526">
        <w:rPr>
          <w:sz w:val="24"/>
        </w:rPr>
        <w:t>fo</w:t>
      </w:r>
      <w:r>
        <w:rPr>
          <w:sz w:val="24"/>
        </w:rPr>
        <w:t>r household members residing at both former and new home;</w:t>
      </w:r>
    </w:p>
    <w:p w:rsidR="002B44F4" w:rsidRPr="007C6526" w:rsidRDefault="002B44F4" w:rsidP="002222A7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7C6526">
        <w:rPr>
          <w:sz w:val="24"/>
        </w:rPr>
        <w:t>Lodging while in transit, including one night at the former location and one night at the new location;</w:t>
      </w:r>
    </w:p>
    <w:p w:rsidR="002B44F4" w:rsidRPr="007C6526" w:rsidRDefault="002B44F4" w:rsidP="002222A7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7C6526">
        <w:rPr>
          <w:sz w:val="24"/>
        </w:rPr>
        <w:t>Mileage for up to two cars at</w:t>
      </w:r>
      <w:r w:rsidR="007C6526">
        <w:rPr>
          <w:sz w:val="24"/>
        </w:rPr>
        <w:t xml:space="preserve"> the current IRS rate; and</w:t>
      </w:r>
    </w:p>
    <w:p w:rsidR="002B44F4" w:rsidRPr="007C6526" w:rsidRDefault="002B44F4" w:rsidP="002222A7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7C6526">
        <w:rPr>
          <w:sz w:val="24"/>
        </w:rPr>
        <w:t>Parking fees and tolls.</w:t>
      </w:r>
    </w:p>
    <w:p w:rsidR="002B44F4" w:rsidRDefault="002B44F4" w:rsidP="002222A7">
      <w:pPr>
        <w:jc w:val="both"/>
        <w:rPr>
          <w:sz w:val="24"/>
        </w:rPr>
      </w:pPr>
    </w:p>
    <w:p w:rsidR="002B44F4" w:rsidRPr="00E42347" w:rsidRDefault="00E42347" w:rsidP="002222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QUA</w:t>
      </w:r>
      <w:r w:rsidR="002B44F4" w:rsidRPr="00E42347">
        <w:rPr>
          <w:b/>
          <w:sz w:val="24"/>
          <w:u w:val="single"/>
        </w:rPr>
        <w:t xml:space="preserve">LIFIED </w:t>
      </w:r>
      <w:r>
        <w:rPr>
          <w:b/>
          <w:sz w:val="24"/>
          <w:u w:val="single"/>
        </w:rPr>
        <w:t>NON</w:t>
      </w:r>
      <w:r w:rsidR="002B44F4" w:rsidRPr="00E42347">
        <w:rPr>
          <w:b/>
          <w:sz w:val="24"/>
          <w:u w:val="single"/>
        </w:rPr>
        <w:t>DEDUCTIBLE EXPENSES</w:t>
      </w:r>
    </w:p>
    <w:p w:rsidR="002222A7" w:rsidRDefault="007C6526" w:rsidP="002222A7">
      <w:pPr>
        <w:jc w:val="both"/>
        <w:rPr>
          <w:sz w:val="16"/>
        </w:rPr>
      </w:pPr>
      <w:r>
        <w:rPr>
          <w:b/>
          <w:sz w:val="24"/>
        </w:rPr>
        <w:t>Travel to new household</w:t>
      </w:r>
      <w:r>
        <w:rPr>
          <w:b/>
          <w:sz w:val="24"/>
        </w:rPr>
        <w:tab/>
      </w:r>
      <w:r w:rsidR="002B44F4">
        <w:rPr>
          <w:sz w:val="24"/>
        </w:rPr>
        <w:t>Reasonable meals for household members, as well as individuals assisting in the move (</w:t>
      </w:r>
      <w:proofErr w:type="spellStart"/>
      <w:r w:rsidR="002B44F4">
        <w:rPr>
          <w:sz w:val="24"/>
        </w:rPr>
        <w:t>ie</w:t>
      </w:r>
      <w:proofErr w:type="spellEnd"/>
      <w:r w:rsidR="002B44F4">
        <w:rPr>
          <w:sz w:val="24"/>
        </w:rPr>
        <w:t xml:space="preserve"> drivin</w:t>
      </w:r>
      <w:r w:rsidR="00163158">
        <w:rPr>
          <w:sz w:val="24"/>
        </w:rPr>
        <w:t>g Rental Truck, unloading items</w:t>
      </w:r>
      <w:r>
        <w:rPr>
          <w:sz w:val="24"/>
        </w:rPr>
        <w:t>)</w:t>
      </w:r>
      <w:r w:rsidR="00163158">
        <w:rPr>
          <w:sz w:val="24"/>
        </w:rPr>
        <w:t xml:space="preserve">.  </w:t>
      </w:r>
      <w:r>
        <w:rPr>
          <w:sz w:val="24"/>
        </w:rPr>
        <w:t>As the IRS considers these funds to be taxable income, it is</w:t>
      </w:r>
      <w:r w:rsidR="00163158">
        <w:rPr>
          <w:sz w:val="24"/>
        </w:rPr>
        <w:t xml:space="preserve"> the employee’s responsibility to handle the reporting and tax liability.</w:t>
      </w:r>
      <w:r w:rsidR="00A74440">
        <w:rPr>
          <w:sz w:val="24"/>
        </w:rPr>
        <w:t xml:space="preserve">                                                         </w:t>
      </w:r>
      <w:r w:rsidR="00A74440" w:rsidRPr="00A74440">
        <w:rPr>
          <w:sz w:val="16"/>
        </w:rPr>
        <w:t xml:space="preserve"> </w:t>
      </w:r>
      <w:r w:rsidR="002222A7">
        <w:rPr>
          <w:sz w:val="16"/>
        </w:rPr>
        <w:t xml:space="preserve">         </w:t>
      </w:r>
    </w:p>
    <w:p w:rsidR="005C25AE" w:rsidRPr="0058007C" w:rsidRDefault="002222A7" w:rsidP="002222A7">
      <w:pPr>
        <w:ind w:left="9360" w:firstLine="720"/>
        <w:jc w:val="both"/>
        <w:rPr>
          <w:sz w:val="24"/>
        </w:rPr>
      </w:pPr>
      <w:r>
        <w:rPr>
          <w:sz w:val="16"/>
        </w:rPr>
        <w:t xml:space="preserve">     </w:t>
      </w:r>
      <w:r>
        <w:rPr>
          <w:b/>
          <w:sz w:val="16"/>
        </w:rPr>
        <w:t>7/2020</w:t>
      </w:r>
    </w:p>
    <w:sectPr w:rsidR="005C25AE" w:rsidRPr="0058007C" w:rsidSect="000D026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1B0"/>
    <w:multiLevelType w:val="hybridMultilevel"/>
    <w:tmpl w:val="E0D27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45B39"/>
    <w:multiLevelType w:val="hybridMultilevel"/>
    <w:tmpl w:val="74E2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2D7"/>
    <w:multiLevelType w:val="hybridMultilevel"/>
    <w:tmpl w:val="369E949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4E411B"/>
    <w:multiLevelType w:val="hybridMultilevel"/>
    <w:tmpl w:val="BE3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6C66"/>
    <w:multiLevelType w:val="hybridMultilevel"/>
    <w:tmpl w:val="B05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739F"/>
    <w:multiLevelType w:val="hybridMultilevel"/>
    <w:tmpl w:val="A206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7ED4"/>
    <w:multiLevelType w:val="hybridMultilevel"/>
    <w:tmpl w:val="D13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822D7"/>
    <w:multiLevelType w:val="hybridMultilevel"/>
    <w:tmpl w:val="F5E044DC"/>
    <w:lvl w:ilvl="0" w:tplc="CE38B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A3D2B"/>
    <w:multiLevelType w:val="hybridMultilevel"/>
    <w:tmpl w:val="B448A732"/>
    <w:lvl w:ilvl="0" w:tplc="F6AE2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00E13"/>
    <w:multiLevelType w:val="hybridMultilevel"/>
    <w:tmpl w:val="3F14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D36"/>
    <w:multiLevelType w:val="hybridMultilevel"/>
    <w:tmpl w:val="AF48CA64"/>
    <w:lvl w:ilvl="0" w:tplc="771CF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853470"/>
    <w:multiLevelType w:val="hybridMultilevel"/>
    <w:tmpl w:val="70E6BBC4"/>
    <w:lvl w:ilvl="0" w:tplc="CE38B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1283F"/>
    <w:multiLevelType w:val="hybridMultilevel"/>
    <w:tmpl w:val="672220A8"/>
    <w:lvl w:ilvl="0" w:tplc="396EA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600AD"/>
    <w:multiLevelType w:val="hybridMultilevel"/>
    <w:tmpl w:val="226CD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69F8"/>
    <w:multiLevelType w:val="hybridMultilevel"/>
    <w:tmpl w:val="007875F2"/>
    <w:lvl w:ilvl="0" w:tplc="3CE6B9C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89"/>
    <w:rsid w:val="00082EA4"/>
    <w:rsid w:val="000D026D"/>
    <w:rsid w:val="00107DC1"/>
    <w:rsid w:val="0013731D"/>
    <w:rsid w:val="00157E9F"/>
    <w:rsid w:val="00163158"/>
    <w:rsid w:val="00186BA8"/>
    <w:rsid w:val="002222A7"/>
    <w:rsid w:val="00293CD7"/>
    <w:rsid w:val="002B44F4"/>
    <w:rsid w:val="002E0A17"/>
    <w:rsid w:val="002F1271"/>
    <w:rsid w:val="003B21CB"/>
    <w:rsid w:val="003C2A85"/>
    <w:rsid w:val="003E3505"/>
    <w:rsid w:val="00422B82"/>
    <w:rsid w:val="00501C5F"/>
    <w:rsid w:val="005310A1"/>
    <w:rsid w:val="00552864"/>
    <w:rsid w:val="00554166"/>
    <w:rsid w:val="0058007C"/>
    <w:rsid w:val="00592121"/>
    <w:rsid w:val="00592A21"/>
    <w:rsid w:val="005C25AE"/>
    <w:rsid w:val="005C3C0D"/>
    <w:rsid w:val="00623C90"/>
    <w:rsid w:val="00645CBD"/>
    <w:rsid w:val="00690F89"/>
    <w:rsid w:val="006F0402"/>
    <w:rsid w:val="00701A14"/>
    <w:rsid w:val="007345A2"/>
    <w:rsid w:val="0077252C"/>
    <w:rsid w:val="007C6526"/>
    <w:rsid w:val="007F6006"/>
    <w:rsid w:val="00807A50"/>
    <w:rsid w:val="00815CBB"/>
    <w:rsid w:val="0082197D"/>
    <w:rsid w:val="00924FF1"/>
    <w:rsid w:val="0093644F"/>
    <w:rsid w:val="00937800"/>
    <w:rsid w:val="009C281D"/>
    <w:rsid w:val="00A74440"/>
    <w:rsid w:val="00AA3086"/>
    <w:rsid w:val="00B6667C"/>
    <w:rsid w:val="00BA1010"/>
    <w:rsid w:val="00C15881"/>
    <w:rsid w:val="00C31998"/>
    <w:rsid w:val="00C37899"/>
    <w:rsid w:val="00DC22EA"/>
    <w:rsid w:val="00DE65BA"/>
    <w:rsid w:val="00E42347"/>
    <w:rsid w:val="00E94DBE"/>
    <w:rsid w:val="00EC4B9B"/>
    <w:rsid w:val="00EE6304"/>
    <w:rsid w:val="00EF1F0C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17AC9-11F1-4EA4-BEF7-49CA060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67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14"/>
    <w:pPr>
      <w:ind w:left="720"/>
      <w:contextualSpacing/>
    </w:pPr>
  </w:style>
  <w:style w:type="table" w:styleId="TableGrid">
    <w:name w:val="Table Grid"/>
    <w:basedOn w:val="TableNormal"/>
    <w:uiPriority w:val="59"/>
    <w:rsid w:val="0058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SOUTHEASTERN COLORADO FAMILY GUIDANCE</vt:lpstr>
      </vt:variant>
      <vt:variant>
        <vt:i4>0</vt:i4>
      </vt:variant>
    </vt:vector>
  </HeadingPairs>
  <TitlesOfParts>
    <vt:vector size="1" baseType="lpstr">
      <vt:lpstr>SOUTHEASTERN COLORADO FAMILY GUIDANCE</vt:lpstr>
    </vt:vector>
  </TitlesOfParts>
  <Company>Southeast Mental Health Services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COLORADO FAMILY GUIDANCE</dc:title>
  <dc:creator>Authorized Customer</dc:creator>
  <cp:lastModifiedBy>Renee Morlan</cp:lastModifiedBy>
  <cp:revision>1</cp:revision>
  <cp:lastPrinted>2019-11-27T19:06:00Z</cp:lastPrinted>
  <dcterms:created xsi:type="dcterms:W3CDTF">2021-08-18T14:19:00Z</dcterms:created>
  <dcterms:modified xsi:type="dcterms:W3CDTF">2021-08-18T14:19:00Z</dcterms:modified>
</cp:coreProperties>
</file>